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01" w:rsidRDefault="00AF4332" w:rsidP="00D2190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28900" cy="923925"/>
            <wp:effectExtent l="0" t="0" r="0" b="9525"/>
            <wp:docPr id="2" name="Picture 2" descr="NEA logo lo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 logo lock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6B" w:rsidRDefault="00AE4E46" w:rsidP="007C45F0">
      <w:pPr>
        <w:spacing w:after="0" w:line="240" w:lineRule="auto"/>
        <w:jc w:val="center"/>
        <w:rPr>
          <w:bCs/>
          <w:sz w:val="32"/>
          <w:szCs w:val="32"/>
        </w:rPr>
      </w:pPr>
      <w:r w:rsidRPr="00AE4E46">
        <w:rPr>
          <w:bCs/>
          <w:sz w:val="32"/>
          <w:szCs w:val="32"/>
        </w:rPr>
        <w:t>If You “Put a Ring on It”, Insure It</w:t>
      </w:r>
    </w:p>
    <w:p w:rsidR="00AE4E46" w:rsidRPr="0082308E" w:rsidRDefault="00AE4E46" w:rsidP="007C45F0">
      <w:pPr>
        <w:spacing w:after="0" w:line="240" w:lineRule="auto"/>
        <w:jc w:val="center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February is the month of love. If you choose to show your love with an expensive piece of jewelry, you’ll want to protect that enduring representation of your love.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 xml:space="preserve">One of the best ways is to purchase scheduled </w:t>
      </w:r>
      <w:hyperlink r:id="rId6" w:history="1">
        <w:r w:rsidRPr="00AE4E46">
          <w:rPr>
            <w:rStyle w:val="Hyperlink"/>
            <w:sz w:val="24"/>
            <w:szCs w:val="24"/>
          </w:rPr>
          <w:t>personal property (SPP) insurance</w:t>
        </w:r>
      </w:hyperlink>
      <w:r w:rsidRPr="00AE4E46">
        <w:rPr>
          <w:sz w:val="24"/>
          <w:szCs w:val="24"/>
        </w:rPr>
        <w:t xml:space="preserve">, sometimes called a </w:t>
      </w:r>
      <w:hyperlink r:id="rId7" w:history="1">
        <w:r w:rsidRPr="00AE4E46">
          <w:rPr>
            <w:rStyle w:val="Hyperlink"/>
            <w:sz w:val="24"/>
            <w:szCs w:val="24"/>
          </w:rPr>
          <w:t>floater</w:t>
        </w:r>
      </w:hyperlink>
      <w:r w:rsidRPr="00AE4E46">
        <w:rPr>
          <w:sz w:val="24"/>
          <w:szCs w:val="24"/>
        </w:rPr>
        <w:t>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 xml:space="preserve">Here’s why: While your renters or </w:t>
      </w:r>
      <w:r w:rsidRPr="00AE4E46">
        <w:rPr>
          <w:sz w:val="24"/>
          <w:szCs w:val="24"/>
        </w:rPr>
        <w:t>homeowner’s</w:t>
      </w:r>
      <w:r w:rsidRPr="00AE4E46">
        <w:rPr>
          <w:sz w:val="24"/>
          <w:szCs w:val="24"/>
        </w:rPr>
        <w:t xml:space="preserve"> insurance policy covers jewelry for theft or being destroyed in a fire, that coverage is limited. The average Valentine’s Day ring or necklace purchase is about $1,500, the average spend for an engagement ring is $6,000.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Scheduled personal property insurance provides higher coverage for your precious items, like high priced jewelry with coverage above and beyond what home insurance provides.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And, here’s the best part, SPP pays even if that prized piece was accidentally lost or damaged – such as losing a diamond down the sink or toilet. There is no deducible and SPP provides a replacement at the full insured amount. SPP usually costs about one to two percent of the item’s value.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Scheduled personal property isn’t just for jewelry; you might need the endorsement if you have: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Fine art</w:t>
      </w:r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Furs</w:t>
      </w:r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Rare coins or money collections</w:t>
      </w:r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Expensive cameras</w:t>
      </w:r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Firearms</w:t>
      </w:r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Fine silverware</w:t>
      </w:r>
      <w:bookmarkStart w:id="0" w:name="_GoBack"/>
      <w:bookmarkEnd w:id="0"/>
    </w:p>
    <w:p w:rsidR="00AE4E46" w:rsidRPr="00AE4E46" w:rsidRDefault="00AE4E46" w:rsidP="00AE4E4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Stamp collections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 xml:space="preserve">And even if you already have </w:t>
      </w:r>
      <w:hyperlink r:id="rId8" w:history="1">
        <w:r w:rsidRPr="00AE4E46">
          <w:rPr>
            <w:rStyle w:val="Hyperlink"/>
            <w:sz w:val="24"/>
            <w:szCs w:val="24"/>
          </w:rPr>
          <w:t>gold and jewelry</w:t>
        </w:r>
      </w:hyperlink>
      <w:r w:rsidRPr="00AE4E46">
        <w:rPr>
          <w:sz w:val="24"/>
          <w:szCs w:val="24"/>
        </w:rPr>
        <w:t xml:space="preserve"> or a </w:t>
      </w:r>
      <w:r w:rsidRPr="00AE4E46">
        <w:rPr>
          <w:sz w:val="24"/>
          <w:szCs w:val="24"/>
        </w:rPr>
        <w:t>rare watch</w:t>
      </w:r>
      <w:r w:rsidRPr="00AE4E46">
        <w:rPr>
          <w:sz w:val="24"/>
          <w:szCs w:val="24"/>
        </w:rPr>
        <w:t xml:space="preserve"> covered with scheduled personal property coverage, you may need a review. Gold and diamond prices have climbed the past few years and you may not have enough protection for their new value.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  <w:r w:rsidRPr="00AE4E46">
        <w:rPr>
          <w:sz w:val="24"/>
          <w:szCs w:val="24"/>
        </w:rPr>
        <w:t>Don’t wait until your precious items are lost, stolen or damaged to find out if you have enough coverage to replace them; contact a representative today.</w:t>
      </w:r>
    </w:p>
    <w:p w:rsidR="00AE4E46" w:rsidRPr="00AE4E46" w:rsidRDefault="00AE4E46" w:rsidP="00AE4E46">
      <w:pPr>
        <w:spacing w:after="0" w:line="240" w:lineRule="auto"/>
        <w:jc w:val="both"/>
        <w:rPr>
          <w:sz w:val="24"/>
          <w:szCs w:val="24"/>
        </w:rPr>
      </w:pPr>
    </w:p>
    <w:p w:rsidR="00173C6B" w:rsidRDefault="00173C6B" w:rsidP="00173C6B">
      <w:pPr>
        <w:spacing w:after="0" w:line="240" w:lineRule="auto"/>
        <w:jc w:val="both"/>
        <w:rPr>
          <w:rFonts w:cs="Calibri"/>
          <w:i/>
        </w:rPr>
      </w:pPr>
    </w:p>
    <w:p w:rsidR="00D21901" w:rsidRDefault="00AF4332" w:rsidP="00173C6B">
      <w:pPr>
        <w:spacing w:after="0" w:line="240" w:lineRule="auto"/>
        <w:jc w:val="both"/>
        <w:rPr>
          <w:rFonts w:cs="Calibri"/>
          <w:i/>
        </w:rPr>
      </w:pPr>
      <w:r w:rsidRPr="00274FA5">
        <w:rPr>
          <w:rFonts w:cs="Calibri"/>
          <w:i/>
        </w:rPr>
        <w:t xml:space="preserve">California Casualty has been serving the needs of educators since 1951 and is the only auto and home insurance company to earn the trust and endorsement of the </w:t>
      </w:r>
      <w:r w:rsidRPr="00960C73">
        <w:rPr>
          <w:rFonts w:cs="Calibri"/>
          <w:i/>
        </w:rPr>
        <w:t>N</w:t>
      </w:r>
      <w:r w:rsidR="00B857C4" w:rsidRPr="00960C73">
        <w:rPr>
          <w:rFonts w:cs="Calibri"/>
          <w:i/>
        </w:rPr>
        <w:t xml:space="preserve">ational </w:t>
      </w:r>
      <w:r w:rsidRPr="00960C73">
        <w:rPr>
          <w:rFonts w:cs="Calibri"/>
          <w:i/>
        </w:rPr>
        <w:t>E</w:t>
      </w:r>
      <w:r w:rsidR="00B857C4" w:rsidRPr="00960C73">
        <w:rPr>
          <w:rFonts w:cs="Calibri"/>
          <w:i/>
        </w:rPr>
        <w:t xml:space="preserve">ducation </w:t>
      </w:r>
      <w:r w:rsidRPr="00960C73">
        <w:rPr>
          <w:rFonts w:cs="Calibri"/>
          <w:i/>
        </w:rPr>
        <w:t>A</w:t>
      </w:r>
      <w:r w:rsidR="00B857C4" w:rsidRPr="00960C73">
        <w:rPr>
          <w:rFonts w:cs="Calibri"/>
          <w:i/>
        </w:rPr>
        <w:t>ssociation (NEA)</w:t>
      </w:r>
      <w:r w:rsidRPr="00960C73">
        <w:rPr>
          <w:rFonts w:cs="Calibri"/>
          <w:i/>
        </w:rPr>
        <w:t xml:space="preserve">. </w:t>
      </w:r>
      <w:r w:rsidRPr="00274FA5">
        <w:rPr>
          <w:rFonts w:cs="Calibri"/>
          <w:i/>
        </w:rPr>
        <w:t xml:space="preserve">As a result, NEA members qualify for exceptional rates, deductibles waived for vandalism or collisions to your vehicle parked at school, holiday or summer skip payment plans and free Identity Defense protection – exclusive benefits not available to the general public. Learn how to save by getting a quote at </w:t>
      </w:r>
      <w:hyperlink r:id="rId9" w:history="1">
        <w:r w:rsidR="0043303E">
          <w:rPr>
            <w:rStyle w:val="Hyperlink"/>
            <w:rFonts w:cs="Calibri"/>
            <w:i/>
          </w:rPr>
          <w:t>www.calcas.com/neamb</w:t>
        </w:r>
      </w:hyperlink>
      <w:r w:rsidRPr="00274FA5">
        <w:rPr>
          <w:rFonts w:cs="Calibri"/>
          <w:i/>
        </w:rPr>
        <w:t>, or by calling 1.800.800.9410.</w:t>
      </w:r>
    </w:p>
    <w:p w:rsidR="008155C5" w:rsidRDefault="008155C5" w:rsidP="00960C73">
      <w:pPr>
        <w:spacing w:after="0" w:line="240" w:lineRule="auto"/>
        <w:jc w:val="both"/>
        <w:rPr>
          <w:rFonts w:cs="Calibri"/>
          <w:i/>
        </w:rPr>
      </w:pPr>
    </w:p>
    <w:sectPr w:rsidR="008155C5" w:rsidSect="00A7352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0B7"/>
    <w:multiLevelType w:val="hybridMultilevel"/>
    <w:tmpl w:val="7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30D"/>
    <w:multiLevelType w:val="hybridMultilevel"/>
    <w:tmpl w:val="A97E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2FE"/>
    <w:multiLevelType w:val="hybridMultilevel"/>
    <w:tmpl w:val="7EF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0909"/>
    <w:multiLevelType w:val="hybridMultilevel"/>
    <w:tmpl w:val="95E279E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1C7E4C6D"/>
    <w:multiLevelType w:val="hybridMultilevel"/>
    <w:tmpl w:val="557A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5EE"/>
    <w:multiLevelType w:val="hybridMultilevel"/>
    <w:tmpl w:val="2BBA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4E60"/>
    <w:multiLevelType w:val="hybridMultilevel"/>
    <w:tmpl w:val="D92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1CC4"/>
    <w:multiLevelType w:val="hybridMultilevel"/>
    <w:tmpl w:val="703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0567"/>
    <w:multiLevelType w:val="hybridMultilevel"/>
    <w:tmpl w:val="01D6CD1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517A7758"/>
    <w:multiLevelType w:val="hybridMultilevel"/>
    <w:tmpl w:val="545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2DF4"/>
    <w:multiLevelType w:val="hybridMultilevel"/>
    <w:tmpl w:val="01D6CD1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60056D86"/>
    <w:multiLevelType w:val="hybridMultilevel"/>
    <w:tmpl w:val="159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86436"/>
    <w:multiLevelType w:val="hybridMultilevel"/>
    <w:tmpl w:val="811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E1EF2"/>
    <w:multiLevelType w:val="hybridMultilevel"/>
    <w:tmpl w:val="D516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E9E"/>
    <w:multiLevelType w:val="hybridMultilevel"/>
    <w:tmpl w:val="5618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9572F"/>
    <w:multiLevelType w:val="hybridMultilevel"/>
    <w:tmpl w:val="5B0C3704"/>
    <w:lvl w:ilvl="0" w:tplc="1CE6E5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01"/>
    <w:rsid w:val="000A24CB"/>
    <w:rsid w:val="000A2728"/>
    <w:rsid w:val="000A6A89"/>
    <w:rsid w:val="000E78EE"/>
    <w:rsid w:val="00103525"/>
    <w:rsid w:val="00173C6B"/>
    <w:rsid w:val="001764C9"/>
    <w:rsid w:val="00177658"/>
    <w:rsid w:val="001835EC"/>
    <w:rsid w:val="001A0F27"/>
    <w:rsid w:val="001F61FC"/>
    <w:rsid w:val="002225FC"/>
    <w:rsid w:val="002B1A36"/>
    <w:rsid w:val="002E61A9"/>
    <w:rsid w:val="002F05A8"/>
    <w:rsid w:val="002F23DB"/>
    <w:rsid w:val="00336BC5"/>
    <w:rsid w:val="00351342"/>
    <w:rsid w:val="003546F2"/>
    <w:rsid w:val="003A6C1E"/>
    <w:rsid w:val="003E518E"/>
    <w:rsid w:val="003F6B18"/>
    <w:rsid w:val="00402ADF"/>
    <w:rsid w:val="0043303E"/>
    <w:rsid w:val="00471DD0"/>
    <w:rsid w:val="004742B5"/>
    <w:rsid w:val="00490C16"/>
    <w:rsid w:val="00494C13"/>
    <w:rsid w:val="004A49AB"/>
    <w:rsid w:val="004B331A"/>
    <w:rsid w:val="004C78EC"/>
    <w:rsid w:val="00524BBD"/>
    <w:rsid w:val="0053112A"/>
    <w:rsid w:val="00555F10"/>
    <w:rsid w:val="005A069E"/>
    <w:rsid w:val="005A2952"/>
    <w:rsid w:val="005A33EB"/>
    <w:rsid w:val="005D05FB"/>
    <w:rsid w:val="005D1074"/>
    <w:rsid w:val="00651971"/>
    <w:rsid w:val="006950DC"/>
    <w:rsid w:val="00695E90"/>
    <w:rsid w:val="006D5C4E"/>
    <w:rsid w:val="007129CF"/>
    <w:rsid w:val="0075610E"/>
    <w:rsid w:val="00791F66"/>
    <w:rsid w:val="007A469F"/>
    <w:rsid w:val="007B48F5"/>
    <w:rsid w:val="007C45F0"/>
    <w:rsid w:val="00800246"/>
    <w:rsid w:val="0080360A"/>
    <w:rsid w:val="00803A0B"/>
    <w:rsid w:val="00803AB6"/>
    <w:rsid w:val="00814DD3"/>
    <w:rsid w:val="008155C5"/>
    <w:rsid w:val="0082068E"/>
    <w:rsid w:val="008220F6"/>
    <w:rsid w:val="0082308E"/>
    <w:rsid w:val="008271A2"/>
    <w:rsid w:val="00855D73"/>
    <w:rsid w:val="008678D0"/>
    <w:rsid w:val="00874C71"/>
    <w:rsid w:val="008D00D8"/>
    <w:rsid w:val="008E58A7"/>
    <w:rsid w:val="009016C2"/>
    <w:rsid w:val="009274D8"/>
    <w:rsid w:val="00960C73"/>
    <w:rsid w:val="009F69D3"/>
    <w:rsid w:val="00A115B1"/>
    <w:rsid w:val="00A46DA5"/>
    <w:rsid w:val="00A73525"/>
    <w:rsid w:val="00AE4E46"/>
    <w:rsid w:val="00AF4332"/>
    <w:rsid w:val="00B34EB5"/>
    <w:rsid w:val="00B36A18"/>
    <w:rsid w:val="00B57EF0"/>
    <w:rsid w:val="00B857C4"/>
    <w:rsid w:val="00B9562E"/>
    <w:rsid w:val="00BB1889"/>
    <w:rsid w:val="00BE362E"/>
    <w:rsid w:val="00BF3337"/>
    <w:rsid w:val="00BF6C9A"/>
    <w:rsid w:val="00C51FBB"/>
    <w:rsid w:val="00C55711"/>
    <w:rsid w:val="00C6175B"/>
    <w:rsid w:val="00C67DA4"/>
    <w:rsid w:val="00C72FD5"/>
    <w:rsid w:val="00C768A1"/>
    <w:rsid w:val="00D17FC3"/>
    <w:rsid w:val="00D21901"/>
    <w:rsid w:val="00D24A28"/>
    <w:rsid w:val="00D45E36"/>
    <w:rsid w:val="00D62A73"/>
    <w:rsid w:val="00DC18F0"/>
    <w:rsid w:val="00DD3386"/>
    <w:rsid w:val="00E42C3B"/>
    <w:rsid w:val="00E55D35"/>
    <w:rsid w:val="00E758D8"/>
    <w:rsid w:val="00EC0B26"/>
    <w:rsid w:val="00ED3A5C"/>
    <w:rsid w:val="00ED43AC"/>
    <w:rsid w:val="00EF5947"/>
    <w:rsid w:val="00F11B40"/>
    <w:rsid w:val="00F23038"/>
    <w:rsid w:val="00F33CFC"/>
    <w:rsid w:val="00F53373"/>
    <w:rsid w:val="00FB5847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3EDB"/>
  <w15:docId w15:val="{B68E4551-01B8-4512-9A49-FD99022D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6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7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EB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0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2013dollars.com/Jewelry/price-inf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cas.com/insurance-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alcas.com/2021/04/insurance-101-what-is-personal-property-coverag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cas.com/nea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Casualty Management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Goldberg</dc:creator>
  <cp:lastModifiedBy>Chloe Ecton</cp:lastModifiedBy>
  <cp:revision>2</cp:revision>
  <cp:lastPrinted>2020-02-24T21:15:00Z</cp:lastPrinted>
  <dcterms:created xsi:type="dcterms:W3CDTF">2022-12-16T14:32:00Z</dcterms:created>
  <dcterms:modified xsi:type="dcterms:W3CDTF">2022-12-16T14:32:00Z</dcterms:modified>
</cp:coreProperties>
</file>